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F3" w:rsidRPr="00D8643F" w:rsidRDefault="00EA43F3" w:rsidP="00EA43F3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4CED4C93" wp14:editId="469F8DA7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F3" w:rsidRPr="00D8643F" w:rsidRDefault="00EA43F3" w:rsidP="00EA43F3">
      <w:pPr>
        <w:jc w:val="both"/>
        <w:rPr>
          <w:rFonts w:cstheme="minorHAnsi"/>
          <w:b/>
        </w:rPr>
      </w:pPr>
    </w:p>
    <w:p w:rsidR="00EA43F3" w:rsidRDefault="00EA43F3" w:rsidP="00EA43F3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EA43F3" w:rsidRPr="00D8643F" w:rsidRDefault="00EA43F3" w:rsidP="00EA43F3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(период  </w:t>
      </w:r>
      <w:r>
        <w:rPr>
          <w:rFonts w:cstheme="minorHAnsi"/>
          <w:b/>
          <w:color w:val="FF0000"/>
        </w:rPr>
        <w:t>8 - 14</w:t>
      </w:r>
      <w:r>
        <w:rPr>
          <w:rFonts w:cstheme="minorHAnsi"/>
          <w:b/>
          <w:color w:val="FF0000"/>
        </w:rPr>
        <w:t xml:space="preserve">  февраля  2022)</w:t>
      </w:r>
    </w:p>
    <w:p w:rsidR="001E07C6" w:rsidRDefault="001E07C6" w:rsidP="001E07C6">
      <w:pPr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A92062" w:rsidRPr="001E07C6" w:rsidRDefault="001E518D" w:rsidP="001E07C6">
      <w:pPr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ПРАВИТЕЛЬСТВО</w:t>
      </w:r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ПУТИН ПОРУЧИЛ УСКОРИТЬ ВНЕДРЕНИЕ СЕРВИСА ПО ВЫЗОВУ ВРАЧА НА ДОМ НА ПОРТАЛЕ ГОСУСЛУГ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Президент РФ Владимир Путин поручил правительству до 31 марта 2022 года осуществить техническую реализацию онлайн-сервиса «вызов врача на дом» на едином портале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, а с 1 июля такая услуга должна быть доступна в каждом регионе страны. Начиная с 2017 года такой функционал на портале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работает для жителей 52 регионов России, отмечали в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Минцифры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в январе.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Ответственным за полное внедрение сервиса «вызов врача на дом» на портале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назначен премьер-министр РФ Михаил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Мишустин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. После того как функционал станет доступен во всех субъектах РФ, главы регионов должны будут обеспечить для граждан возможность с помощью заявки на портале вызвать специалиста на дом или записаться на прием в медучреждение (сейчас некоторые регионы предоставляют такие услуги только после обращения по телефону).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В июле 2017 года бывший в то время премьер-министром РФ Дмитрий Медведев </w:t>
      </w:r>
      <w:hyperlink r:id="rId6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утвердил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подготовленные Минздравом поправки к перечню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, которые можно получить на едином портале в электронной форме. В список был добавлен сервис по вызову врача на дом и записи на прием к специалисту. По </w:t>
      </w:r>
      <w:hyperlink r:id="rId7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данным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Минцифры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на 18 января 2022 года, сервис «вызов врача на дом» работал на портале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в 52 регионах страны. При определенных условиях люди с подозрением на COVID-19 для вызова врача на дом могут звонить по номеру 122 или обращаться в службу скорой помощи.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По итогам прошедшего 26 января 2022 года совещания с членами Правительства РФ Владимир Путин также поручил представить предложения по оснащению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«современными системами цифровой телефонии и формированию масштабируемой схемы приема и обработки поступающих в медицинские организации вызовов». Доклад должен быть представлен до 1 апреля 2022 года. Ответственными назначены Михаил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Мишустин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и главы регионов.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В начале 2021 года в некоторых регионах страны был запущен </w:t>
      </w:r>
      <w:hyperlink r:id="rId8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пилотный проект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по автоматической выгрузке данных об оказанной за счет государства медпомощи на портале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. В декабре Минздрав и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Минцифры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РФ </w:t>
      </w:r>
      <w:hyperlink r:id="rId9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сообщили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об интеграции на портале части </w:t>
      </w: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документооборота для получения пациентом медпомощи в федеральных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. Застрахованному по ОМС пациенту предоставили возможность отслеживать онлайн данные о том, примут ли его на госпитализацию, и смотреть отчеты о расходах системы ОМС на лечение. Такое нововведение призвано «минимизировать посещение медучреждений» и снять излишнюю нагрузку с медперсонала.</w:t>
      </w:r>
    </w:p>
    <w:p w:rsidR="001E518D" w:rsidRPr="001E07C6" w:rsidRDefault="001E518D" w:rsidP="001E07C6">
      <w:pPr>
        <w:pStyle w:val="lead"/>
        <w:pBdr>
          <w:top w:val="single" w:sz="6" w:space="0" w:color="DEDEDE"/>
          <w:bottom w:val="single" w:sz="6" w:space="0" w:color="DEDEDE"/>
        </w:pBdr>
        <w:spacing w:before="0" w:beforeAutospacing="0" w:after="240" w:afterAutospacing="0" w:line="343" w:lineRule="atLeast"/>
        <w:jc w:val="both"/>
        <w:rPr>
          <w:rFonts w:ascii="Calibri" w:hAnsi="Calibri" w:cs="Calibri"/>
        </w:rPr>
      </w:pPr>
      <w:hyperlink r:id="rId10" w:history="1">
        <w:r w:rsidRPr="001E07C6">
          <w:rPr>
            <w:rStyle w:val="a3"/>
            <w:rFonts w:ascii="Calibri" w:hAnsi="Calibri" w:cs="Calibri"/>
          </w:rPr>
          <w:t>https://vademec.ru/news/2022/02/09/putin-poruchil-uskorit-vnedrenie-servisa-po-vyzovu-vracha-na-dom-na-portale-gosuslug/</w:t>
        </w:r>
      </w:hyperlink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ПРАВИТЕЛЬСТВО ВНОВЬ РАЗРЕШИЛО РЕГИОНАМ УВЕЛИЧИВАТЬ СРОКИ ОЖИДАНИЯ МЕДПОМОЩИ ПО ОМС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Согласно выпущенному 8 февраля правительственному постановлению об особенностях оказания в пандемию медпомощи по ОМС, регионы до конца года получили право приостанавливать первичную медико-санитарную медпомощь в плановой форме и увеличивать сроки ожидания стационарного лечения. Как и в похожем постановлении №432, действовавшем в 2020 году, ограничения не касаются онкологических больных и пациентов на диализе.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Главы субъектов могут «при необходимости» отложить проведение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профосмотров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и диспансеризации (включая углубленную), организовать дистанционное диспансерное наблюдение за пациентом, а также принять решение о «привлечении к оказанию медпомощи ведомственных и частных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». В список профилей медпомощи, подлежащих исключению из правил, не попали сердечно-сосудистые и эндокринные заболевания.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Министр здравоохранения РФ Михаил Мурашко </w:t>
      </w:r>
      <w:hyperlink r:id="rId11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назвал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это «вынужденными мерами». Плановая медпомощь в первичном звене, отмечает он, может быть отложена в «неблагоприятный» период в пользу дистанционных форматов. Мера нужна, чтобы в том числе обезопасить хронических пациентов от заражения инфекцией. Вся неотложная и скорая медпомощь сохраняется.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Приостановку плановой амбулаторной медицинской помощи еще до постановления Правительства РФ произвели в ряде регионов. Одним из первых такой способ борьбы со штаммом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коронавируса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«омикрон» </w:t>
      </w:r>
      <w:hyperlink r:id="rId12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использовали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в Санкт-Петербурге. Несмотря на предпринимаемые меры, рост заболеваемости COVID-19 в стране до более чем 180 тысяч новых случаев в сутки приводит к </w:t>
      </w:r>
      <w:hyperlink r:id="rId13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сбоям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в работе поликлинического звена – очередям, выходящим из помещения на улицу, а также многодневному ожиданию врачей на дому.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В начале эпидемии COVID-19 в России правительство также ограничило на федеральном уровне получение медпомощи по ОМС. Постановление №432, однако, </w:t>
      </w:r>
      <w:hyperlink r:id="rId14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вводило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более жесткие ограничения, чтобы минимизировать передвижение граждан между регионами. Например, лечение могло оказываться исключительно по направлению лечащего врача (чаще всего это сотрудник поликлиники, куда пациент прикреплен территориально). Документ утратил силу в начале 2021 года и продлен не был.</w:t>
      </w: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br/>
      </w:r>
      <w:hyperlink r:id="rId15" w:history="1">
        <w:r w:rsidRPr="001E07C6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https://vademec.ru/news/2022/02/09/pravitelstvo-vnov-razreshilo-regionam-uvelichivat-sroki-ozhidaniya-medpopomoshchi-po-oms/</w:t>
        </w:r>
      </w:hyperlink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</w:p>
    <w:p w:rsidR="00A92062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ПОЛОЖЕНИЕ О ЕГИЗ ПРЕТЕРПЕЛО СУЩЕСТВЕННЫЕ ИЗМЕНЕНИЯ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Проект нового Положения о Единой государственной информационной системы в сфере здравоохранения (ЕГИСЗ) был опубликован правительством в мае 2021 года и к моменту принятия претерпел существенные изменения. «МВ» проанализировал документ.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Новое положение о Единой государственной информационной системы в сфере здравоохранения предполагает расширение охвата отрасли цифровыми системами на централизованной основе. Постановление Правительства РФ </w:t>
      </w:r>
      <w:hyperlink r:id="rId16" w:history="1">
        <w:r w:rsidRPr="001E07C6">
          <w:rPr>
            <w:rStyle w:val="a3"/>
            <w:rFonts w:ascii="Calibri" w:hAnsi="Calibri" w:cs="Calibri"/>
            <w:color w:val="E1442F"/>
            <w:sz w:val="24"/>
            <w:szCs w:val="24"/>
          </w:rPr>
          <w:t>№ 140 от 9.02.2022</w:t>
        </w:r>
      </w:hyperlink>
      <w:r w:rsidRPr="001E07C6">
        <w:rPr>
          <w:rFonts w:ascii="Calibri" w:hAnsi="Calibri" w:cs="Calibri"/>
          <w:sz w:val="24"/>
          <w:szCs w:val="24"/>
        </w:rPr>
        <w:t> опубликовано 12 февраля.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Прежнее положение, утвержденное Постановлением Правительства РФ </w:t>
      </w:r>
      <w:hyperlink r:id="rId17" w:history="1">
        <w:r w:rsidRPr="001E07C6">
          <w:rPr>
            <w:rStyle w:val="a3"/>
            <w:rFonts w:ascii="Calibri" w:hAnsi="Calibri" w:cs="Calibri"/>
            <w:color w:val="E1442F"/>
            <w:sz w:val="24"/>
            <w:szCs w:val="24"/>
          </w:rPr>
          <w:t>№ 555 от 05.05.2018</w:t>
        </w:r>
      </w:hyperlink>
      <w:r w:rsidRPr="001E07C6">
        <w:rPr>
          <w:rFonts w:ascii="Calibri" w:hAnsi="Calibri" w:cs="Calibri"/>
          <w:sz w:val="24"/>
          <w:szCs w:val="24"/>
        </w:rPr>
        <w:t>, отменено вместе с рядом сопутствующих нормативных актов. «МВ» проанализировал новый документ.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Положение от 2018 года предполагало прежде всего обработку и хранение обезличенных сведений о пациентах, новое закрепляет также функцию обработки и хранения медицинской документации и (или) сведений о состоянии здоровья гражданина, предоставленных с его согласия или размещенных гражданином (его законным представителем), в том числе посредством федеральной ГИС «Единый портал государственных и муниципальных услуг» (ЕПГ). Гражданам будут предоставлены «услуги в сфере здравоохранения в электронной форме посредством использования ЕПГ, иных </w:t>
      </w:r>
      <w:proofErr w:type="spellStart"/>
      <w:r w:rsidRPr="001E07C6">
        <w:rPr>
          <w:rFonts w:ascii="Calibri" w:hAnsi="Calibri" w:cs="Calibri"/>
          <w:sz w:val="24"/>
          <w:szCs w:val="24"/>
        </w:rPr>
        <w:t>информсистем</w:t>
      </w:r>
      <w:proofErr w:type="spellEnd"/>
      <w:r w:rsidRPr="001E07C6">
        <w:rPr>
          <w:rFonts w:ascii="Calibri" w:hAnsi="Calibri" w:cs="Calibri"/>
          <w:sz w:val="24"/>
          <w:szCs w:val="24"/>
        </w:rPr>
        <w:t>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услуг». Ранее эта возможность не была явно сформулирована, однако как она будет реализована, станет ясно лишь после публикации дополнительных документов.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В новом Положении впервые сформулированы отдельные функции электронной медицинской карты (ЭМК) пациента. Она, в частности, должна обеспечивать «получение, проверку, обработку и хранение медицинской документации и (или) сведений о состоянии здоровья гражданина… а также предоставление с согласия пациента (его законного представителя) доступа к ним медицинским работникам». ЭМК будет служить не только задачам взаимодействия медучреждения и пациента, но также целям отработки алгоритмов искусственного интеллекта (ИИ). Карта требует хранения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ИИ; поддержки разметки и подготовки наборов обезличенных медицинских данных, а также их верификации для решения конкретной задачи, в том числе с использованием методов машинного обучения; поддержки разработки технологических решений на основе ИИ; хранения, функционирования и верификации технологических решений на основе ИИ; доступа медицинских организаций к технологическим решениям на основе ИИ.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Медработник должен получить доступ к медицинской документации, сформированной по результатам приема, в том числе в форме консультаций и консилиумов с применением телемедицинских технологий, проведения профилактических медосмотров, диспансеризации, содержащейся в федеральной интегрированной ЭМК и (или) </w:t>
      </w:r>
      <w:r w:rsidRPr="001E07C6">
        <w:rPr>
          <w:rFonts w:ascii="Calibri" w:hAnsi="Calibri" w:cs="Calibri"/>
          <w:sz w:val="24"/>
          <w:szCs w:val="24"/>
        </w:rPr>
        <w:lastRenderedPageBreak/>
        <w:t>федеральном реестре электронных медицинских документов. Введена норма ведения личного кабинета медицинского работника с целью обеспечения его информационного взаимодействия с единой системой, а также для получения и передачи сведений и документов.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Кроме ранее существовавших реестров врачей и </w:t>
      </w:r>
      <w:proofErr w:type="spellStart"/>
      <w:r w:rsidRPr="001E07C6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предполагается ведение </w:t>
      </w:r>
      <w:proofErr w:type="spellStart"/>
      <w:r w:rsidRPr="001E07C6">
        <w:rPr>
          <w:rFonts w:ascii="Calibri" w:hAnsi="Calibri" w:cs="Calibri"/>
          <w:sz w:val="24"/>
          <w:szCs w:val="24"/>
        </w:rPr>
        <w:t>госреестров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специалистов по клиническим исследованиям биомедицинских клеточных продуктов, а также лекарственных препаратов.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Проект нового Положения был опубликован правительством в мае 2021 года и с этого времени претерпел существенные изменения, став полем борьбы лоббистов и иных групп влияния. Так, изначально предполагалось включение в перечень пользователей и поставщиков информации в систему страховых </w:t>
      </w:r>
      <w:proofErr w:type="spellStart"/>
      <w:r w:rsidRPr="001E07C6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E07C6">
        <w:rPr>
          <w:rFonts w:ascii="Calibri" w:hAnsi="Calibri" w:cs="Calibri"/>
          <w:sz w:val="24"/>
          <w:szCs w:val="24"/>
        </w:rPr>
        <w:t>, но в окончательном варианте упоминания о СМО исчезли, и страховые функции в системе будет выполнять лишь Федеральный фонд ОМС.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При этом среди пользователей появилась Федеральная налоговая служба, не интегрированная в ЕГИСЗ. Поэтому получать информацию она будет через свою автоматизированную </w:t>
      </w:r>
      <w:proofErr w:type="spellStart"/>
      <w:r w:rsidRPr="001E07C6">
        <w:rPr>
          <w:rFonts w:ascii="Calibri" w:hAnsi="Calibri" w:cs="Calibri"/>
          <w:sz w:val="24"/>
          <w:szCs w:val="24"/>
        </w:rPr>
        <w:t>информсистему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«Налог-3». Кто именно в системе здравоохранения будет передавать налоговикам информацию и какую, Положение не конкретизирует.</w:t>
      </w:r>
    </w:p>
    <w:p w:rsidR="001A4EEA" w:rsidRPr="001E07C6" w:rsidRDefault="001A4EEA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Проект предполагал также ведение в составе ЕГИСЗ вертикально интегрированных МИС (ВИМИС) по отдельным профилям оказания медицинской помощи, заболеваниям, состояниям, но этот пункт в явном виде не вошел в Положение. При этом </w:t>
      </w:r>
      <w:hyperlink r:id="rId18" w:history="1">
        <w:r w:rsidRPr="001E07C6">
          <w:rPr>
            <w:rStyle w:val="a3"/>
            <w:rFonts w:ascii="Calibri" w:hAnsi="Calibri" w:cs="Calibri"/>
            <w:color w:val="E1442F"/>
            <w:sz w:val="24"/>
            <w:szCs w:val="24"/>
          </w:rPr>
          <w:t>ВИМИС продолжают</w:t>
        </w:r>
      </w:hyperlink>
      <w:r w:rsidRPr="001E07C6">
        <w:rPr>
          <w:rFonts w:ascii="Calibri" w:hAnsi="Calibri" w:cs="Calibri"/>
          <w:sz w:val="24"/>
          <w:szCs w:val="24"/>
        </w:rPr>
        <w:t> активно развиваться Минздравом. </w:t>
      </w:r>
    </w:p>
    <w:p w:rsidR="001A4EEA" w:rsidRPr="001E07C6" w:rsidRDefault="00452C9B" w:rsidP="001E07C6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="001A4EEA" w:rsidRPr="001E07C6">
          <w:rPr>
            <w:rStyle w:val="a3"/>
            <w:rFonts w:ascii="Calibri" w:hAnsi="Calibri" w:cs="Calibri"/>
            <w:sz w:val="24"/>
            <w:szCs w:val="24"/>
          </w:rPr>
          <w:t>https://medvestnik.ru/content/news/Polojenie-o-EGISZ-preterpelo-sushestvennye-izmeneniya.html</w:t>
        </w:r>
      </w:hyperlink>
    </w:p>
    <w:p w:rsidR="00F10208" w:rsidRPr="001E07C6" w:rsidRDefault="001E518D" w:rsidP="001E07C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1E07C6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ЭФФЕКТИВНОСТЬ РАБОТЫ ПЕРВИЧНОГО ЗВЕНА В ОМС ОЦЕНЯТ БАЛЛАМИ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В </w:t>
      </w:r>
      <w:hyperlink r:id="rId20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методических рекомендациях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по оплате медпомощи за счет ОМС на 2022 год появился специальный раздел с методикой финансового поощрения амбулаторных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, если они работают достаточно эффективно. Результативность клиник, а это достижение целевых значений по предупреждению болезней прикрепленного населения, диспансерному наблюдению и уровню смертности, будет оцениваться по балльной системе раз в квартал комиссией по разработке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терпрограммы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ОМС.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Размер дополнительных средств амбулаторным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медорганизациям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(в случае достижения показателей) добавляется к их базовому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подушевому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финансированию. Клиника получит стимулирующую выплату, если ей удастся выполнить минимум 50% от установленных в тарифном соглашении показателей (то есть по каждому из них должно быть набрано хоть сколько-то баллов). В федеральных рекомендациях содержится 28 критериев. Финальный размер премии зависит от совокупного количества баллов. Также отдельно оговорено, что учреждению нужно освоить минимум 90% от годовых объемов амбулаторной медпомощи по ОМС (без учета простоя во время пандемии).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Все показатели делятся на три группы: результативность профилактических мероприятий, эффективность диспансерного наблюдения и уменьшение уровня смертности среди </w:t>
      </w: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взрослых и детей. Среди детализированных требований – количество выявленных болезней системы кровообращения,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онкозаболеваний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и сахарного диабета, охват населения прививками против COVID-19 и другие. Специальный раздел предусмотрен для оказания медпомощи по профилю «акушерство и гинекология». Так, среди обязательных критериев значится прирост числа женщин, отказавшихся от абортов после консультации.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Уточняется, что критерии и предельная сумма баллов могут варьироваться от региона к региону. Оценки эффективности должны проходить не реже одного раза в квартал. По прогнозу Федерального фонда ОМС на премирование поликлиник в 2022 году уйдет около 20 млрд рублей.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Обновленную систему оценки поликлинического звена в начале февраля 2022 года анонсировала председатель ФФОМС Елена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Чернякова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, отвечая в интервью «Российской газете» на вопрос, «станут ли лучше работать поликлиники после увеличения финансирования», поскольку к ним сейчас «много претензий со стороны пациентов». «Создаются условия для финансовой заинтересованности медицинских работников поликлиник в раннем выявлении заболеваний, их качественном лечении, уровне здоровья людей, продолжительности жизни пациентов», – </w:t>
      </w:r>
      <w:hyperlink r:id="rId21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прокомментировала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она.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Ранее размер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подушевого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финансирования амбулаторных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также зависел от результативности их работы, однако большую часть методик позволялось разрабатывать регионам. Сейчас впервые на федеральном уровне описан четкий перечень показателей эффективности и как именно необходимо оценивать их достижение.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с прикрепленным населением в последние годы также получают премии за счет средств ОМС в случае внедрения «бережливых» технологий. Вместе со стартом модернизации первичного звена медпомощи в Минздраве начали делать акцент именно на «</w:t>
      </w:r>
      <w:hyperlink r:id="rId22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облике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» поликлиник и создали соответствующие </w:t>
      </w:r>
      <w:hyperlink r:id="rId23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методические рекомендации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Кроме того, Правительство РФ намерено </w:t>
      </w:r>
      <w:hyperlink r:id="rId24" w:history="1">
        <w:r w:rsidRPr="001E07C6">
          <w:rPr>
            <w:rFonts w:ascii="Calibri" w:eastAsia="Times New Roman" w:hAnsi="Calibri" w:cs="Calibri"/>
            <w:sz w:val="24"/>
            <w:szCs w:val="24"/>
            <w:lang w:eastAsia="ru-RU"/>
          </w:rPr>
          <w:t>прописать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специальные требования, которым должна соответствовать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медорганизация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, если она претендует на внедрение «технологий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пациентоориентированной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системы оказания медицинских услуг и благоприятной производственной среды» (то же, что «новая модель оказания медпомощи» и «бережливые технологии»). Непосредственно отбором клиник займется Росздравнадзор и его территориальные органы, на что ведомству потребуется дополнительно 402,2 млн рублей до 2024 года.</w:t>
      </w:r>
      <w:r w:rsidRPr="001E07C6">
        <w:rPr>
          <w:rFonts w:ascii="Calibri" w:eastAsia="Times New Roman" w:hAnsi="Calibri" w:cs="Calibri"/>
          <w:color w:val="194DBB"/>
          <w:sz w:val="24"/>
          <w:szCs w:val="24"/>
          <w:lang w:eastAsia="ru-RU"/>
        </w:rPr>
        <w:t xml:space="preserve"> </w:t>
      </w:r>
      <w:hyperlink r:id="rId25" w:history="1">
        <w:r w:rsidRPr="001E07C6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https://vademec.ru/news/2022/02/11/effektivnost-raboty-pervichnogo-zvena-v-oms-otsenyat-ballami/</w:t>
        </w:r>
      </w:hyperlink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ФЕДЕРАЛЬНЫЙ МИНЗДРАВ НАЗВАЛ ВИДЫ МЕДПОМОЩИ, КОТОРЫЕ НЕЛЬЗЯ ПРИОСТАНАВЛИВАТЬ ВО ВРЕМЯ ПАНДЕМИИ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В их числе — помощь детям, пациентам с онкологическими заболеваниями и нуждающимся в гемодиализе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Федеральное правительство утвердило постановление, которое вносит изменения в базовую программу обязательного медицинского страхования.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В соответствии с ними в период распространения </w:t>
      </w:r>
      <w:proofErr w:type="spellStart"/>
      <w:r w:rsidRPr="001E07C6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главы регионов при необходимости могут временно приостанавливать оказание плановой амбулаторной медицинской помощи, но только по некоторым профилям и только в зависимости </w:t>
      </w:r>
      <w:r w:rsidRPr="001E07C6">
        <w:rPr>
          <w:rFonts w:ascii="Calibri" w:hAnsi="Calibri" w:cs="Calibri"/>
          <w:sz w:val="24"/>
          <w:szCs w:val="24"/>
        </w:rPr>
        <w:lastRenderedPageBreak/>
        <w:t>от эпидемиологической ситуации. Как только обстановка в регионе стабилизируется, плановая помощь должна быть возобновлена в полном объеме, подчеркнули в пресс-служба Минздрава РФ.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Временно приостановлено может быть проведение диспансеризации и профилактических осмотров. При этом за состоянием пациентов, находящихся на диспансерном наблюдении в связи с хроническими заболеваниями, должно быть организовано дистанционное наблюдение.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Важно, что в случае принятия решения о временной приостановке плановой помощи в амбулаторных условиях, в регионе должен быть утвержден четкий перечень медицинских организаций, которые временно не оказывают плановую медпомощь. Также должна быть определена новая временная маршрутизация пациентов. Это позволит сохранить доступность медицинской помощи для граждан.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Детям, а также пациентам с онкологическими, </w:t>
      </w:r>
      <w:proofErr w:type="spellStart"/>
      <w:r w:rsidRPr="001E07C6">
        <w:rPr>
          <w:rFonts w:ascii="Calibri" w:hAnsi="Calibri" w:cs="Calibri"/>
          <w:sz w:val="24"/>
          <w:szCs w:val="24"/>
        </w:rPr>
        <w:t>онкогематологическими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заболеваниями, пациентам, нуждающимся в проведении заместительной почечной терапии, в указанный период плановая медицинская помощь должна оказываться в полном объеме — этот вопрос находится на особом контроле Минздрава России. Также без ограничений будет осуществляться выдача направлений на высокотехнологичную медицинскую помощь и на санаторно-курортное лечение.</w:t>
      </w:r>
    </w:p>
    <w:p w:rsidR="00F10208" w:rsidRPr="001E07C6" w:rsidRDefault="00F10208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Постановлением Минздраву также поручается утвердить временный порядок организации и проведения экспертизы качества оказания медицинской помощи больным </w:t>
      </w:r>
      <w:proofErr w:type="spellStart"/>
      <w:r w:rsidRPr="001E07C6">
        <w:rPr>
          <w:rFonts w:ascii="Calibri" w:hAnsi="Calibri" w:cs="Calibri"/>
          <w:sz w:val="24"/>
          <w:szCs w:val="24"/>
        </w:rPr>
        <w:t>коронавирусом</w:t>
      </w:r>
      <w:proofErr w:type="spellEnd"/>
      <w:r w:rsidRPr="001E07C6">
        <w:rPr>
          <w:rFonts w:ascii="Calibri" w:hAnsi="Calibri" w:cs="Calibri"/>
          <w:sz w:val="24"/>
          <w:szCs w:val="24"/>
        </w:rPr>
        <w:t>. Для повышения качества оказания медицинской помощи, экспертиза может проводиться уже во время лечения пациентов с COVID-19 в амбулаторных и стационарных условиях.</w:t>
      </w:r>
    </w:p>
    <w:p w:rsidR="00F10208" w:rsidRPr="001E07C6" w:rsidRDefault="00452C9B" w:rsidP="001E07C6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6" w:history="1">
        <w:r w:rsidR="00F10208" w:rsidRPr="001E07C6">
          <w:rPr>
            <w:rStyle w:val="a3"/>
            <w:rFonts w:ascii="Calibri" w:hAnsi="Calibri" w:cs="Calibri"/>
            <w:sz w:val="24"/>
            <w:szCs w:val="24"/>
          </w:rPr>
          <w:t>https://pravdasevera.ru/2022/02/10/6204aac0318ffff8ff611672.html?utm_source=yxnews&amp;utm_medium=desktop&amp;utm_referrer=https%3A%2F%2Fyandex.ru%2Fnews%2Fsearch%3Ftext%3D</w:t>
        </w:r>
      </w:hyperlink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СЧЕТНАЯ ПАЛАТА ПРОВЕРИТ ФИНОБЕСПЕЧЕНИЕ ПРОГРАММЫ ГОСГАРАНТИЙ В 2021 ГОДУ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Принципы формирования и финансового обеспечения программы государственных гарантий бесплатного оказания гражданам медицинской помощи (ПГГ) в 2021 году станут объектом проверки Счетной палаты России.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Счетная палата проведет оценку формирования и финансового обеспечения программы государственных гарантий бесплатного оказания гражданам медицинской помощи в 2021 году. Контрольное мероприятие включено в план проверок на текущий год, </w:t>
      </w:r>
      <w:hyperlink r:id="rId27" w:tgtFrame="_blank" w:history="1">
        <w:r w:rsidRPr="001E07C6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сообщила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 пресс-служба ведомства.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«Результаты, которые мы планируем получить, позволят нам глубоко проработать вопросы формирования </w:t>
      </w:r>
      <w:hyperlink r:id="rId28" w:history="1">
        <w:r w:rsidRPr="001E07C6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программы госгарантий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 и </w:t>
      </w:r>
      <w:proofErr w:type="spellStart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тарифообразования</w:t>
      </w:r>
      <w:proofErr w:type="spellEnd"/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 xml:space="preserve"> в системе ОМС», — приводятся в сообщении слова зампреда Счетной палаты Галины Изотовой. Она уточнила, что первоочередные цели проверки – оценка критериев и требований, установленных ПГГ, на предмет их достаточности и актуальности, а также анализ роли стандартов оказания помощи в системе здравоохранения и механизма их формирования.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По словам Изотовой, для многих заболеваний, входящих в базовую программу ОМС, до сих пор не разработаны стандарты медпомощи, на основе которых определяются объемы медицинских услуг, учитываемые при расчете тарифов. Это делает невозможным оценку расчета реальной потребности регионов в финансировании базовой программы ОМС.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Кроме того, аудиторы планируют оценить риски цифровой трансформации здравоохранения, а также фактическое состояние информатизации отрасли и практику применения информационных систем и технологий, в том числе на предмет возможности достижения стратегических задач в данной сфере, рассказала Изотова </w:t>
      </w:r>
      <w:hyperlink r:id="rId29" w:tgtFrame="_blank" w:history="1">
        <w:r w:rsidRPr="001E07C6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ТАСС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На прошлой неделе Счетная палата представила отчет по итогам анализа формирования системы защиты прав граждан в сфере ОМС. В частности, аудиторы предложили наделить страховые медицинские организации (СМО) правом представлять пациентов в суде, </w:t>
      </w:r>
      <w:hyperlink r:id="rId30" w:history="1">
        <w:r w:rsidRPr="001E07C6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1E518D" w:rsidRPr="001E07C6" w:rsidRDefault="001E518D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sz w:val="24"/>
          <w:szCs w:val="24"/>
          <w:lang w:eastAsia="ru-RU"/>
        </w:rPr>
        <w:t>Всего в 2022 году контрольное ведомство планирует провести 394 аудиторских мероприятия, 23 из которых — по поручениям Президента РФ.</w:t>
      </w:r>
    </w:p>
    <w:p w:rsidR="001E518D" w:rsidRPr="001E07C6" w:rsidRDefault="001E518D" w:rsidP="001E07C6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31" w:history="1">
        <w:r w:rsidRPr="001E07C6">
          <w:rPr>
            <w:rStyle w:val="a3"/>
            <w:rFonts w:ascii="Calibri" w:hAnsi="Calibri" w:cs="Calibri"/>
            <w:sz w:val="24"/>
            <w:szCs w:val="24"/>
          </w:rPr>
          <w:t>https://medvestnik.ru/content/news/Schetnaya-palata-proverit-finobespechenie-programmy-gosgarantii-v-2021-godu.html</w:t>
        </w:r>
      </w:hyperlink>
    </w:p>
    <w:p w:rsidR="00B46D53" w:rsidRPr="001E07C6" w:rsidRDefault="00B46D53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МИНЗДРАВ ПРОДЛИЛ МОРАТОРИЙ НА АТТЕСТАЦИЮ ДЛЯ ПОДТВЕРЖДЕНИЯ КВАЛИФИКАЦИОННОЙ КАТЕГОРИИ</w:t>
      </w:r>
    </w:p>
    <w:p w:rsidR="00B46D53" w:rsidRPr="00B46D53" w:rsidRDefault="00B46D53" w:rsidP="001E07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46D53">
        <w:rPr>
          <w:rFonts w:ascii="Calibri" w:eastAsia="Times New Roman" w:hAnsi="Calibri" w:cs="Calibri"/>
          <w:sz w:val="24"/>
          <w:szCs w:val="24"/>
          <w:lang w:eastAsia="ru-RU"/>
        </w:rPr>
        <w:t>Минздрав России продлил еще на год срок действия присвоенных ранее квалификационных категорий медицинских и фармацевтических работников. Пройти аттестацию по-прежнему могут только те, кто делает это впервые, или претенденты на более высокую квалификационную категорию.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Минюст зарегистрировал Приказ Минздрава России </w:t>
      </w:r>
      <w:hyperlink r:id="rId32" w:history="1">
        <w:r w:rsidRPr="001E07C6">
          <w:rPr>
            <w:rStyle w:val="a3"/>
            <w:rFonts w:ascii="Calibri" w:hAnsi="Calibri" w:cs="Calibri"/>
          </w:rPr>
          <w:t>№ 59н от 07.02.2022</w:t>
        </w:r>
      </w:hyperlink>
      <w:r w:rsidRPr="001E07C6">
        <w:rPr>
          <w:rFonts w:ascii="Calibri" w:hAnsi="Calibri" w:cs="Calibri"/>
        </w:rPr>
        <w:t xml:space="preserve"> «Об особенностях прохождения медицинскими работниками и фармацевтическими работниками аттестации для получения квалификационной категории». Документ опубликован 8 февраля на портале publication.pravo.gov.ru.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соответствии с приказом, приостанавливается проведение аттестации мед- и </w:t>
      </w:r>
      <w:proofErr w:type="spellStart"/>
      <w:r w:rsidRPr="001E07C6">
        <w:rPr>
          <w:rFonts w:ascii="Calibri" w:hAnsi="Calibri" w:cs="Calibri"/>
        </w:rPr>
        <w:t>фармработников</w:t>
      </w:r>
      <w:proofErr w:type="spellEnd"/>
      <w:r w:rsidRPr="001E07C6">
        <w:rPr>
          <w:rFonts w:ascii="Calibri" w:hAnsi="Calibri" w:cs="Calibri"/>
        </w:rPr>
        <w:t xml:space="preserve"> на получение квалификационной категории до 1 января 2023 года за исключением случаев, когда аттестация проводится впервые или когда необходима для присвоения более высокой квалификационной категории.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На 12 месяцев продлен срок действия присвоенных квалификационных категорий при истечении срока их действия в период с 1 января по 31 декабря 2022 года, в том числе срок действия присвоенных им квалификационных категорий, которые были продлены начиная с 1 февраля 2020 года в соответствии с приказами Минздрава </w:t>
      </w:r>
      <w:hyperlink r:id="rId33" w:history="1">
        <w:r w:rsidRPr="001E07C6">
          <w:rPr>
            <w:rStyle w:val="a3"/>
            <w:rFonts w:ascii="Calibri" w:hAnsi="Calibri" w:cs="Calibri"/>
          </w:rPr>
          <w:t>№ 394н от 30.04.2020</w:t>
        </w:r>
      </w:hyperlink>
      <w:r w:rsidRPr="001E07C6">
        <w:rPr>
          <w:rFonts w:ascii="Calibri" w:hAnsi="Calibri" w:cs="Calibri"/>
        </w:rPr>
        <w:t xml:space="preserve"> и </w:t>
      </w:r>
      <w:hyperlink r:id="rId34" w:history="1">
        <w:r w:rsidRPr="001E07C6">
          <w:rPr>
            <w:rStyle w:val="a3"/>
            <w:rFonts w:ascii="Calibri" w:hAnsi="Calibri" w:cs="Calibri"/>
          </w:rPr>
          <w:t>№ 41н от 02.02.2021</w:t>
        </w:r>
      </w:hyperlink>
      <w:r w:rsidRPr="001E07C6">
        <w:rPr>
          <w:rFonts w:ascii="Calibri" w:hAnsi="Calibri" w:cs="Calibri"/>
        </w:rPr>
        <w:t>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конце прошлого года Минздрав разработал новый порядок прохождения мед- и </w:t>
      </w:r>
      <w:proofErr w:type="spellStart"/>
      <w:r w:rsidRPr="001E07C6">
        <w:rPr>
          <w:rFonts w:ascii="Calibri" w:hAnsi="Calibri" w:cs="Calibri"/>
        </w:rPr>
        <w:t>фармработниками</w:t>
      </w:r>
      <w:proofErr w:type="spellEnd"/>
      <w:r w:rsidRPr="001E07C6">
        <w:rPr>
          <w:rFonts w:ascii="Calibri" w:hAnsi="Calibri" w:cs="Calibri"/>
        </w:rPr>
        <w:t xml:space="preserve"> аттестации для получения квалификационной категории, </w:t>
      </w:r>
      <w:hyperlink r:id="rId35" w:history="1">
        <w:r w:rsidRPr="001E07C6">
          <w:rPr>
            <w:rStyle w:val="a3"/>
            <w:rFonts w:ascii="Calibri" w:hAnsi="Calibri" w:cs="Calibri"/>
          </w:rPr>
          <w:t>сообщал «МВ»</w:t>
        </w:r>
      </w:hyperlink>
      <w:r w:rsidRPr="001E07C6">
        <w:rPr>
          <w:rFonts w:ascii="Calibri" w:hAnsi="Calibri" w:cs="Calibri"/>
        </w:rPr>
        <w:t xml:space="preserve">. Приказ </w:t>
      </w:r>
      <w:hyperlink r:id="rId36" w:history="1">
        <w:r w:rsidRPr="001E07C6">
          <w:rPr>
            <w:rStyle w:val="a3"/>
            <w:rFonts w:ascii="Calibri" w:hAnsi="Calibri" w:cs="Calibri"/>
          </w:rPr>
          <w:t>№ 1083н от 22.11.2021</w:t>
        </w:r>
      </w:hyperlink>
      <w:r w:rsidRPr="001E07C6">
        <w:rPr>
          <w:rFonts w:ascii="Calibri" w:hAnsi="Calibri" w:cs="Calibri"/>
        </w:rPr>
        <w:t xml:space="preserve"> вступил в силу с 1 января 2022 года и заменил действовавший ранее приказ № 240н от 23.04.2013.</w:t>
      </w:r>
    </w:p>
    <w:p w:rsidR="00B46D53" w:rsidRPr="001E07C6" w:rsidRDefault="00B46D53" w:rsidP="001E07C6">
      <w:pPr>
        <w:jc w:val="both"/>
        <w:rPr>
          <w:rFonts w:ascii="Calibri" w:hAnsi="Calibri" w:cs="Calibri"/>
          <w:sz w:val="24"/>
          <w:szCs w:val="24"/>
        </w:rPr>
      </w:pPr>
    </w:p>
    <w:p w:rsidR="00B46D53" w:rsidRPr="001E07C6" w:rsidRDefault="00B46D53" w:rsidP="001E07C6">
      <w:pPr>
        <w:jc w:val="both"/>
        <w:rPr>
          <w:rFonts w:ascii="Calibri" w:hAnsi="Calibri" w:cs="Calibri"/>
          <w:sz w:val="24"/>
          <w:szCs w:val="24"/>
        </w:rPr>
      </w:pPr>
      <w:hyperlink r:id="rId37" w:history="1">
        <w:r w:rsidRPr="001E07C6">
          <w:rPr>
            <w:rStyle w:val="a3"/>
            <w:rFonts w:ascii="Calibri" w:hAnsi="Calibri" w:cs="Calibri"/>
            <w:sz w:val="24"/>
            <w:szCs w:val="24"/>
          </w:rPr>
          <w:t>https://medvestnik.ru/content/news/Minzdrav-prodlil-moratorii-na-attestaciu-dlya-podtverjdeniya-kvalifikacionnoi-kategorii.html</w:t>
        </w:r>
      </w:hyperlink>
    </w:p>
    <w:p w:rsidR="00B46D53" w:rsidRPr="001E07C6" w:rsidRDefault="00B46D53" w:rsidP="001E07C6">
      <w:pPr>
        <w:jc w:val="both"/>
        <w:rPr>
          <w:rFonts w:ascii="Calibri" w:hAnsi="Calibri" w:cs="Calibri"/>
          <w:sz w:val="24"/>
          <w:szCs w:val="24"/>
        </w:rPr>
      </w:pPr>
    </w:p>
    <w:p w:rsidR="00B46D53" w:rsidRPr="001E07C6" w:rsidRDefault="00B46D53" w:rsidP="001E07C6">
      <w:pPr>
        <w:jc w:val="both"/>
        <w:rPr>
          <w:rFonts w:ascii="Calibri" w:hAnsi="Calibri" w:cs="Calibri"/>
          <w:sz w:val="24"/>
          <w:szCs w:val="24"/>
        </w:rPr>
      </w:pPr>
    </w:p>
    <w:p w:rsidR="001E518D" w:rsidRPr="001E07C6" w:rsidRDefault="001E518D" w:rsidP="001E07C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1E07C6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B46D53" w:rsidRPr="001E07C6" w:rsidRDefault="00B46D53" w:rsidP="001E07C6">
      <w:pPr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1E07C6">
        <w:rPr>
          <w:rFonts w:ascii="Calibri" w:eastAsia="Times New Roman" w:hAnsi="Calibri" w:cs="Calibri"/>
          <w:b/>
          <w:sz w:val="24"/>
          <w:szCs w:val="24"/>
          <w:lang w:eastAsia="ru-RU"/>
        </w:rPr>
        <w:t>В РОСЗДРАВНАДЗОРЕ ПОДДЕРЖАЛИ ЧАСТИЧНУЮ ДЕКРИМИНАЛИЗАЦИЮ ВРАЧЕБНОЙ ДЕЯТЕЛЬНОСТИ</w:t>
      </w:r>
    </w:p>
    <w:p w:rsidR="00B46D53" w:rsidRPr="00B46D53" w:rsidRDefault="00B46D53" w:rsidP="001E07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46D53">
        <w:rPr>
          <w:rFonts w:ascii="Calibri" w:eastAsia="Times New Roman" w:hAnsi="Calibri" w:cs="Calibri"/>
          <w:sz w:val="24"/>
          <w:szCs w:val="24"/>
          <w:lang w:eastAsia="ru-RU"/>
        </w:rPr>
        <w:t>Росздравнадзор предложил рассмотреть возможность частичной декриминализации преступлений, связанных с негативными последствиями при оказании медицинской помощи. Служба считает важным оценить альтернативу наказаниям для врачей, связанным с реальным лишением свободы.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Росздравнадзоре предложили проработать возможность частичной декриминализации преступлений, связанных с негативными последствиями при оказании медицинской помощи. Когда речь идет о добросовестном заблуждении врача при отсутствии у него достаточного практического опыта или знаний, в Уголовный кодекс целесообразно ввести виды наказаний, альтернативные лишению свободы, заявил начальник отдела организации контроля медицинских экспертиз Росздравнадзора </w:t>
      </w:r>
      <w:r w:rsidRPr="001E07C6">
        <w:rPr>
          <w:rStyle w:val="a5"/>
          <w:rFonts w:ascii="Calibri" w:hAnsi="Calibri" w:cs="Calibri"/>
        </w:rPr>
        <w:t xml:space="preserve">Антон Колоколов </w:t>
      </w:r>
      <w:r w:rsidRPr="001E07C6">
        <w:rPr>
          <w:rFonts w:ascii="Calibri" w:hAnsi="Calibri" w:cs="Calibri"/>
        </w:rPr>
        <w:t>на II Всероссийском форуме «Вопросы медицинского права» 11 февраля, передает корреспондент «МВ».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>Элементы неосторожной формы вины (небрежность, невнимательность) при условии отсутствия субъективной стороны не образуют состава преступления. Было бы справедливым внести в законодательство норму права, позволяющую органам правосудия временно отстранять медицинского работника от профессиональной деятельности без сохранения заработной платы в случаях причинения тяжкого вреда здоровью по неосторожности при оказании медицинской помощи.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>В дальнейшем такой работник смог бы приступить к работе после прохождения цикла повышения квалификации с последующим экзаменом в своей профессиональной области, пояснил Колоколов.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ряде случаев вклад в ситуацию неблагоприятных исходов при оказании медпомощи вносят сами пациенты, допускающие асоциальное поведение, нарушение схемы приема лекарственных препаратов или отказ от лечения, самолечение; неоднократно меняющие врача, уточнил специалист. Сейчас данные факты нередко не получают должной </w:t>
      </w:r>
      <w:proofErr w:type="spellStart"/>
      <w:r w:rsidRPr="001E07C6">
        <w:rPr>
          <w:rFonts w:ascii="Calibri" w:hAnsi="Calibri" w:cs="Calibri"/>
        </w:rPr>
        <w:t>интепретации</w:t>
      </w:r>
      <w:proofErr w:type="spellEnd"/>
      <w:r w:rsidRPr="001E07C6">
        <w:rPr>
          <w:rFonts w:ascii="Calibri" w:hAnsi="Calibri" w:cs="Calibri"/>
        </w:rPr>
        <w:t xml:space="preserve"> в ходе расследования уголовного дела.  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>«Не вызывает сомнения, что в случае причинения вреда жизни и здоровью в процессе оказания медицинской помощи врач должен нести ответственность, в том числе уголовную. Но при этом ответственность все-таки должна зависеть от степени тяжести причиненного вреда пациенту», — подчеркнул представитель Росздравнадзора. 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прошлом году Российское общество хирургов (РОХ) направляло обращение в Конституционный суд с просьбой </w:t>
      </w:r>
      <w:hyperlink r:id="rId38" w:history="1">
        <w:r w:rsidRPr="001E07C6">
          <w:rPr>
            <w:rStyle w:val="a3"/>
            <w:rFonts w:ascii="Calibri" w:hAnsi="Calibri" w:cs="Calibri"/>
          </w:rPr>
          <w:t>прекратить</w:t>
        </w:r>
      </w:hyperlink>
      <w:r w:rsidRPr="001E07C6">
        <w:rPr>
          <w:rFonts w:ascii="Calibri" w:hAnsi="Calibri" w:cs="Calibri"/>
        </w:rPr>
        <w:t xml:space="preserve"> применять ст.238 УК РФ (оказание услуг, не отвечающих требованиям безопасности) в отношении медицинских работников. В нем </w:t>
      </w:r>
      <w:r w:rsidRPr="001E07C6">
        <w:rPr>
          <w:rFonts w:ascii="Calibri" w:hAnsi="Calibri" w:cs="Calibri"/>
        </w:rPr>
        <w:lastRenderedPageBreak/>
        <w:t>отмечалось, что практика уголовного преследования врачей за осложнения после операций или консервативного лечения не применяется нигде в мире.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 xml:space="preserve">В 2018 году на похожих по смыслу поправках — декриминализации лечебной деятельности — настаивала Национальная медицинская палата. Но тогда эти инициативы поддержки не получили. В 2018 году Следственный комитет России (СКР) создал отдельное подразделение, специализирующееся на расследовании «ятрогенных» преступлений. В 2019 году Госдума приняла законопроект, наделяющий СКР правом проводить собственные экспертизы: молекулярно-генетическую, компьютерно-техническую, </w:t>
      </w:r>
      <w:proofErr w:type="spellStart"/>
      <w:r w:rsidRPr="001E07C6">
        <w:rPr>
          <w:rFonts w:ascii="Calibri" w:hAnsi="Calibri" w:cs="Calibri"/>
        </w:rPr>
        <w:t>фоноскопическую</w:t>
      </w:r>
      <w:proofErr w:type="spellEnd"/>
      <w:r w:rsidRPr="001E07C6">
        <w:rPr>
          <w:rFonts w:ascii="Calibri" w:hAnsi="Calibri" w:cs="Calibri"/>
        </w:rPr>
        <w:t>, медико-криминалистическую, баллистическую и др.  под предлогом повышения качества следствия и сокращения его сроков.</w:t>
      </w:r>
    </w:p>
    <w:p w:rsidR="00B46D53" w:rsidRPr="001E07C6" w:rsidRDefault="00B46D53" w:rsidP="001E07C6">
      <w:pPr>
        <w:pStyle w:val="a4"/>
        <w:jc w:val="both"/>
        <w:rPr>
          <w:rFonts w:ascii="Calibri" w:hAnsi="Calibri" w:cs="Calibri"/>
        </w:rPr>
      </w:pPr>
      <w:r w:rsidRPr="001E07C6">
        <w:rPr>
          <w:rFonts w:ascii="Calibri" w:hAnsi="Calibri" w:cs="Calibri"/>
        </w:rPr>
        <w:t>По данным, которые приводил в 2019 году на «круглом столе» в Госдуме главный внештатный хирург Минздрава России, директор НМИЦ хирургии им. А.В. Вишневского </w:t>
      </w:r>
      <w:proofErr w:type="spellStart"/>
      <w:r w:rsidRPr="001E07C6">
        <w:rPr>
          <w:rStyle w:val="a5"/>
          <w:rFonts w:ascii="Calibri" w:hAnsi="Calibri" w:cs="Calibri"/>
        </w:rPr>
        <w:t>Амиран</w:t>
      </w:r>
      <w:proofErr w:type="spellEnd"/>
      <w:r w:rsidRPr="001E07C6">
        <w:rPr>
          <w:rStyle w:val="a5"/>
          <w:rFonts w:ascii="Calibri" w:hAnsi="Calibri" w:cs="Calibri"/>
        </w:rPr>
        <w:t xml:space="preserve"> </w:t>
      </w:r>
      <w:proofErr w:type="spellStart"/>
      <w:r w:rsidRPr="001E07C6">
        <w:rPr>
          <w:rStyle w:val="a5"/>
          <w:rFonts w:ascii="Calibri" w:hAnsi="Calibri" w:cs="Calibri"/>
        </w:rPr>
        <w:t>Ревишвили</w:t>
      </w:r>
      <w:proofErr w:type="spellEnd"/>
      <w:r w:rsidRPr="001E07C6">
        <w:rPr>
          <w:rStyle w:val="a5"/>
          <w:rFonts w:ascii="Calibri" w:hAnsi="Calibri" w:cs="Calibri"/>
        </w:rPr>
        <w:t>,</w:t>
      </w:r>
      <w:r w:rsidRPr="001E07C6">
        <w:rPr>
          <w:rFonts w:ascii="Calibri" w:hAnsi="Calibri" w:cs="Calibri"/>
        </w:rPr>
        <w:t xml:space="preserve"> больше всего среди специалистов, осужденных в связи с врачебными ошибками и ненадлежащим оказанием медицинской помощи, врачей-хирургов (40%). На втором месте акушеры-гинекологи (21%) и анестезиологи-реаниматологи (13%).</w:t>
      </w:r>
    </w:p>
    <w:p w:rsidR="00B46D53" w:rsidRPr="001E07C6" w:rsidRDefault="00B46D53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39" w:history="1">
        <w:r w:rsidRPr="001E07C6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https://medvestnik.ru/content/news/V-Roszdravnadzore-podderjdali-chastichnuu-dekriminalizaciu-vrachebnoi-deyatelnosti.html</w:t>
        </w:r>
      </w:hyperlink>
    </w:p>
    <w:p w:rsidR="00B46D53" w:rsidRPr="001E07C6" w:rsidRDefault="00B46D53" w:rsidP="001E07C6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18D" w:rsidRPr="001E07C6" w:rsidRDefault="001E518D" w:rsidP="001E07C6">
      <w:pPr>
        <w:jc w:val="both"/>
        <w:rPr>
          <w:rFonts w:ascii="Calibri" w:hAnsi="Calibri" w:cs="Calibri"/>
          <w:b/>
          <w:sz w:val="24"/>
          <w:szCs w:val="24"/>
        </w:rPr>
      </w:pPr>
      <w:r w:rsidRPr="001E07C6">
        <w:rPr>
          <w:rFonts w:ascii="Calibri" w:hAnsi="Calibri" w:cs="Calibri"/>
          <w:b/>
          <w:sz w:val="24"/>
          <w:szCs w:val="24"/>
        </w:rPr>
        <w:t>Неестественная убыль: почему в России за год умерло свыше миллиона человек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Какие уроки для социальной политики мы можем извлечь из опыта </w:t>
      </w:r>
      <w:proofErr w:type="spellStart"/>
      <w:r w:rsidRPr="001E07C6">
        <w:rPr>
          <w:rFonts w:ascii="Calibri" w:hAnsi="Calibri" w:cs="Calibri"/>
          <w:sz w:val="24"/>
          <w:szCs w:val="24"/>
        </w:rPr>
        <w:t>пандемийных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лет. Об этом сообщил представитель группы «Европейский диалог» Евгений Гонтмахер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Как стало недавно известно, Россия завершила 2021 год рекордной естественной убылью населения — 1,04 миллиона человек. Эта цифра даже больше, чем в «лихих» 90-х. Недаром пресс-секретарь президента назвал эту статистику «печальной».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  <w:shd w:val="clear" w:color="auto" w:fill="FFFFFF"/>
        </w:rPr>
        <w:t xml:space="preserve">Было бы, конечно, очень просто объяснить такое положение </w:t>
      </w:r>
      <w:proofErr w:type="spellStart"/>
      <w:r w:rsidRPr="001E07C6">
        <w:rPr>
          <w:rFonts w:ascii="Calibri" w:hAnsi="Calibri" w:cs="Calibri"/>
          <w:sz w:val="24"/>
          <w:szCs w:val="24"/>
          <w:shd w:val="clear" w:color="auto" w:fill="FFFFFF"/>
        </w:rPr>
        <w:t>коронавирусной</w:t>
      </w:r>
      <w:proofErr w:type="spellEnd"/>
      <w:r w:rsidRPr="001E07C6">
        <w:rPr>
          <w:rFonts w:ascii="Calibri" w:hAnsi="Calibri" w:cs="Calibri"/>
          <w:sz w:val="24"/>
          <w:szCs w:val="24"/>
          <w:shd w:val="clear" w:color="auto" w:fill="FFFFFF"/>
        </w:rPr>
        <w:t xml:space="preserve"> пандемией, которая очень серьезно — на сотни тысяч человек за год — увеличила смертность. Но есть и другие причины. Одна из них — перегрузка нашей системы здравоохранения, которая бросила все силы на борьбу с </w:t>
      </w:r>
      <w:proofErr w:type="spellStart"/>
      <w:r w:rsidRPr="001E07C6">
        <w:rPr>
          <w:rFonts w:ascii="Calibri" w:hAnsi="Calibri" w:cs="Calibri"/>
          <w:sz w:val="24"/>
          <w:szCs w:val="24"/>
          <w:shd w:val="clear" w:color="auto" w:fill="FFFFFF"/>
        </w:rPr>
        <w:t>ковидом</w:t>
      </w:r>
      <w:proofErr w:type="spellEnd"/>
      <w:r w:rsidRPr="001E07C6">
        <w:rPr>
          <w:rFonts w:ascii="Calibri" w:hAnsi="Calibri" w:cs="Calibri"/>
          <w:sz w:val="24"/>
          <w:szCs w:val="24"/>
          <w:shd w:val="clear" w:color="auto" w:fill="FFFFFF"/>
        </w:rPr>
        <w:t>, оголив другие участки. Например, оказание плановой медицинской помощи хронически больным людям в целом ряде регионов резко сократилось, что не могло не повлечь тяжелые последствия, в том числе преждевременные смерти.</w:t>
      </w:r>
      <w:r w:rsidRPr="001E07C6">
        <w:rPr>
          <w:rFonts w:ascii="Calibri" w:hAnsi="Calibri" w:cs="Calibri"/>
          <w:sz w:val="24"/>
          <w:szCs w:val="24"/>
        </w:rPr>
        <w:t xml:space="preserve"> Естественно, что в условиях пандемической </w:t>
      </w:r>
      <w:proofErr w:type="spellStart"/>
      <w:r w:rsidRPr="001E07C6">
        <w:rPr>
          <w:rFonts w:ascii="Calibri" w:hAnsi="Calibri" w:cs="Calibri"/>
          <w:sz w:val="24"/>
          <w:szCs w:val="24"/>
        </w:rPr>
        <w:t>чрезвычайщины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многие семьи в лучшем случае отложили появление своих детей. Для этого у многих перестало хватать денег, да и общая тревожность атмосферы пугает потенциальных родителей. Поэтому общее число рождений в 2021 году снизилось на 2,3% и составило 1,4 млн человек — минимум с 2002 года.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Сейчас, когда появились первые робкие надежды на то, что пик пандемии мы прошли и скоро вернутся </w:t>
      </w:r>
      <w:proofErr w:type="spellStart"/>
      <w:r w:rsidRPr="001E07C6">
        <w:rPr>
          <w:rFonts w:ascii="Calibri" w:hAnsi="Calibri" w:cs="Calibri"/>
          <w:sz w:val="24"/>
          <w:szCs w:val="24"/>
        </w:rPr>
        <w:t>доковидные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времена, настало время задуматься: а как мы здесь, в России, будем исправлять эту нашу «печальную» демографию? Какие уроки для социальной политики мы можем извлечь из испытаний 2020–2021 годов?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lastRenderedPageBreak/>
        <w:t>Прежде всего, начну с медицины, которая последние два года находится фактически в мобилизационном состоянии. Это не только российская ситуация. Пандемия застала врасплох все страны, даже те из них, где здравоохранение наиболее качественное. Но нас волнует страна, в которой мы живем. Что-то в организации нашей медицинской помощи надо менять. И не только сохраняя срочно открытые специализированные инфекционные койки.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И до пандемии было понятно, что, несмотря на регулярные вливания денег в систему здравоохранения, ничего в ней в лучшую сторону не меняется. В 2019 году, когда </w:t>
      </w:r>
      <w:proofErr w:type="spellStart"/>
      <w:r w:rsidRPr="001E07C6">
        <w:rPr>
          <w:rFonts w:ascii="Calibri" w:hAnsi="Calibri" w:cs="Calibri"/>
          <w:sz w:val="24"/>
          <w:szCs w:val="24"/>
        </w:rPr>
        <w:t>ковидной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напасти еще не было, социальный вице-премьер Татьяна Голикова заявила, что «и качество, и доступность услуг в здравоохранении резко ухудшились».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Почему это происходит? Классика менеджмента большими системами подсказывает, что в организации российского здравоохранения есть какая-то глубинная проблема. Некоторые считают, что это продолжающееся недофинансирование медицины. Сейчас, на пике дополнительных государственных финансовых вливаний в эту сферу, они составляют всего лишь 4% ВВП. При этом, согласно проектировкам правительства, эта доля будет в 2024 году снижена до 3,5%. В странах, где, благодаря в том числе усилиям медицины, продолжительность жизни уже пересекла рубеж 80 лет, эта доля (если учитывать только расходы государства) не менее 6–7%.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В России же приведенные выше весьма скромные цифры предопределяют нехватку врачей, особенно узких специалистов, острейший дефицит медицинских сестер и санитарок, отсутствие необходимого оборудования, убогое состояние зданий многих больниц и поликлиник. Да, такую картинку не увидишь в Москве, ряде других крупных городов, но вся остальная Россия неудовлетворительное качество и низкую доступность квалифицированной медицинской помощи чувствует на себе.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Так, казалось бы, в чем дело? Давайте дадим здравоохранению больше денег, и ситуация качественно улучшится. Но такие попытки делались раньше, а воз и ныне там. Глубинная проблема организации нашего здравоохранения в том, что она загнана в тиски «обязательного медицинского страхования». Когда в начале 90-х вводили ОМС, целью было создать дополнительный целевой источник поступления денег в медицину. Этим источником определили заработную плату, с которой работодатель определенный процент стал переводить в Фонд обязательного медицинского страхования. Тогда это было экстренным шагом для того, чтобы хотя бы частично восполнить просевшие бюджетные расходы. Но теперь, согласно законодательству, у нас через ОМС финансируется практически вся медицина. Для этого изымается 5,1% фонда оплаты труда. А учитывая низкие размеры российской зарплаты (в прошлом году ее медианное значение было чуть больше 40 тыс. рублей в месяц), эти отчисления, даже в совокупности с региональными платежами за неработающее население, и дают нам упомянутые выше 3,5% ВВП. До нынешних 4% дотянуть помог федеральный бюджет, выступивший в качестве «скорой помощи», которая, как известно, приезжает только в исключительных случаях.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Ситуацию можно переломить, только если отказаться от ОМС, которое, кстати, как неоднократно было заявлено Владимиром Путиным, так и не стало страховым механизмом. Альтернатива давно известна и успешно работает в странах, где международные рейтинги эффективности здравоохранения наивысшие: Испания, Италия, </w:t>
      </w:r>
      <w:r w:rsidRPr="001E07C6">
        <w:rPr>
          <w:rFonts w:ascii="Calibri" w:hAnsi="Calibri" w:cs="Calibri"/>
          <w:sz w:val="24"/>
          <w:szCs w:val="24"/>
        </w:rPr>
        <w:lastRenderedPageBreak/>
        <w:t>Великобритания, Дания, Ирландия. Это бюджетная модель организации медицинской помощи, в основе которой лежат наличие единственного страховщика — государства и финансирование за счет налогов (как общих, так и целевых).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Эта модель актуальна именно для России — потому что наш в целом низкий уровень зарплат не позволяет обеспечить достойную медицину за счет страховых платежей. Можно, конечно, предложить увеличить размер страхового взноса с нынешних 5,1 до 7–8 и более процентов, но в реальной жизни это нанесет мощнейший удар по и без того </w:t>
      </w:r>
      <w:proofErr w:type="spellStart"/>
      <w:r w:rsidRPr="001E07C6">
        <w:rPr>
          <w:rFonts w:ascii="Calibri" w:hAnsi="Calibri" w:cs="Calibri"/>
          <w:sz w:val="24"/>
          <w:szCs w:val="24"/>
        </w:rPr>
        <w:t>стагнирующей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российской экономике.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Зато отмена обязательного страхового платежа в ОМС может стать очень хорошим стимулом для экономической активности. Выпадающие средства для здравоохранения вполне могут быть найдены в нашей бюджетной системе, остро нуждающейся в переориентации на более массивную поддержку «человеческого капитала». Эта задача облегчится при условии качественного экономического роста, продуцируемого не только экспортом минеральных ресурсов, но и высокотехнологическим сектором, что даст дополнительные налоговые поступления в бюджеты всех уровней.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Еще один урок </w:t>
      </w:r>
      <w:proofErr w:type="spellStart"/>
      <w:r w:rsidRPr="001E07C6">
        <w:rPr>
          <w:rFonts w:ascii="Calibri" w:hAnsi="Calibri" w:cs="Calibri"/>
          <w:sz w:val="24"/>
          <w:szCs w:val="24"/>
        </w:rPr>
        <w:t>ковидных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лет для социальной политики — как помочь людям пережить сложные времена. В 2020–2021 годах расцвела практика ручного управления выдачи денег населения сверху. Выступает президент и объявляет, что каждый ребенок в стране получит по 10 тыс. рублей. Потом этот приятный сюрприз повторяется, распространившись на школьников, пенсионеров. Или предлагается в дополнение к запланированному в соответствии с законом повышению прожиточного минимума подкинуть еще 1000 рублей. Все это хорошо, так как люди получают нежданные дополнительные деньги.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Но стоит ли делать такую практику «раздач сверху» постоянной? Если это так, то это означает признание, что </w:t>
      </w:r>
      <w:proofErr w:type="spellStart"/>
      <w:r w:rsidRPr="001E07C6">
        <w:rPr>
          <w:rFonts w:ascii="Calibri" w:hAnsi="Calibri" w:cs="Calibri"/>
          <w:sz w:val="24"/>
          <w:szCs w:val="24"/>
        </w:rPr>
        <w:t>чрезвычайщина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становится нормой жизни. С таким подходом, очевидно, мы ничего не сдвинем в той же экономике, которая в конечном счете является источником средств для социального развития.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Нужно приводить в порядок, делать действительно системной социальную помощь. И дело здесь сводится не только к раздаче денег, пусть даже и на постоянной основе. Демографические тренды, и прежде всего неизбежное старение населения, диктуют необходимость в формировании сети, предоставляющей услуги по постороннему уходу не только бедным, но и всем остальным нуждающимся в этом людям.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На фоне сокращения численности трудоспособного населения крайне актуальным становится выведение на рынок труда людей с ограниченными возможностями. Здесь мы качественно отстаем от лучших мировых практик.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>Что касается семей с несовершеннолетними детьми, то, несмотря на разнообразные формы их поддержки, все равно именно эта важнейшая часть нашего общества имеет наибольшую вероятность упасть в зону бедности. Там, видимо, требуется введение с использованием современных IT-технологий индивидуального отслеживания условий жизни каждого ребенка — от рождения до взросления, с тем чтобы оперативно купировать возникающие провалы.</w:t>
      </w:r>
    </w:p>
    <w:p w:rsidR="001E518D" w:rsidRPr="001E07C6" w:rsidRDefault="001E518D" w:rsidP="001E07C6">
      <w:pPr>
        <w:jc w:val="both"/>
        <w:rPr>
          <w:rFonts w:ascii="Calibri" w:hAnsi="Calibri" w:cs="Calibri"/>
          <w:sz w:val="24"/>
          <w:szCs w:val="24"/>
        </w:rPr>
      </w:pPr>
      <w:r w:rsidRPr="001E07C6">
        <w:rPr>
          <w:rFonts w:ascii="Calibri" w:hAnsi="Calibri" w:cs="Calibri"/>
          <w:sz w:val="24"/>
          <w:szCs w:val="24"/>
        </w:rPr>
        <w:t xml:space="preserve">Потрясение </w:t>
      </w:r>
      <w:proofErr w:type="spellStart"/>
      <w:r w:rsidRPr="001E07C6">
        <w:rPr>
          <w:rFonts w:ascii="Calibri" w:hAnsi="Calibri" w:cs="Calibri"/>
          <w:sz w:val="24"/>
          <w:szCs w:val="24"/>
        </w:rPr>
        <w:t>ковидной</w:t>
      </w:r>
      <w:proofErr w:type="spellEnd"/>
      <w:r w:rsidRPr="001E07C6">
        <w:rPr>
          <w:rFonts w:ascii="Calibri" w:hAnsi="Calibri" w:cs="Calibri"/>
          <w:sz w:val="24"/>
          <w:szCs w:val="24"/>
        </w:rPr>
        <w:t xml:space="preserve"> пандемией нам дорого обошлось. Мы потеряли сотни тысяч жизней, поплатились снижением более чем на 3 года ожидаемой продолжительности жизни, не </w:t>
      </w:r>
      <w:r w:rsidRPr="001E07C6">
        <w:rPr>
          <w:rFonts w:ascii="Calibri" w:hAnsi="Calibri" w:cs="Calibri"/>
          <w:sz w:val="24"/>
          <w:szCs w:val="24"/>
        </w:rPr>
        <w:lastRenderedPageBreak/>
        <w:t>говоря уже о падении доходов у значительной части населения. Единственный плюс, который можно извлечь из этой печальной ситуации, — извлечь правильные уроки на будущее, которое уже наступает.</w:t>
      </w:r>
    </w:p>
    <w:p w:rsidR="001E518D" w:rsidRPr="001E07C6" w:rsidRDefault="001E518D" w:rsidP="001E07C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hyperlink r:id="rId40" w:history="1">
        <w:r w:rsidRPr="001E07C6">
          <w:rPr>
            <w:rStyle w:val="a3"/>
            <w:rFonts w:ascii="Calibri" w:hAnsi="Calibri" w:cs="Calibri"/>
            <w:sz w:val="24"/>
            <w:szCs w:val="24"/>
          </w:rPr>
          <w:t>https://www.mk.ru/social/2022/02/07/neestestvennaya-ubyl-pochemu-v-rossii-za-god-umerlo-svyshe-milliona-chelovek.html?utm_source=yxnews&amp;utm_medium=desktop&amp;utm_referrer=https%3A%2F%2Fyandex.ru%2Fnews%2Fsearch%3Ftext%3D</w:t>
        </w:r>
      </w:hyperlink>
    </w:p>
    <w:p w:rsidR="00413F7F" w:rsidRPr="001E07C6" w:rsidRDefault="00413F7F" w:rsidP="001E07C6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413F7F" w:rsidRPr="001E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551"/>
    <w:multiLevelType w:val="multilevel"/>
    <w:tmpl w:val="0F8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F5D77"/>
    <w:multiLevelType w:val="multilevel"/>
    <w:tmpl w:val="F48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70B2A"/>
    <w:multiLevelType w:val="multilevel"/>
    <w:tmpl w:val="0CF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B3B25"/>
    <w:multiLevelType w:val="multilevel"/>
    <w:tmpl w:val="9A3C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43545"/>
    <w:multiLevelType w:val="multilevel"/>
    <w:tmpl w:val="AAE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34"/>
    <w:rsid w:val="0006685B"/>
    <w:rsid w:val="000677F7"/>
    <w:rsid w:val="00171E34"/>
    <w:rsid w:val="001A4EEA"/>
    <w:rsid w:val="001E07C6"/>
    <w:rsid w:val="001E518D"/>
    <w:rsid w:val="00413F7F"/>
    <w:rsid w:val="00452C9B"/>
    <w:rsid w:val="004E0C24"/>
    <w:rsid w:val="005D1543"/>
    <w:rsid w:val="006B66FA"/>
    <w:rsid w:val="0075007D"/>
    <w:rsid w:val="00766C84"/>
    <w:rsid w:val="007A2DFE"/>
    <w:rsid w:val="008A779B"/>
    <w:rsid w:val="00A64C3F"/>
    <w:rsid w:val="00A92062"/>
    <w:rsid w:val="00B32AD9"/>
    <w:rsid w:val="00B46D53"/>
    <w:rsid w:val="00BA2D13"/>
    <w:rsid w:val="00CA5F89"/>
    <w:rsid w:val="00D167E2"/>
    <w:rsid w:val="00DF3723"/>
    <w:rsid w:val="00EA43F3"/>
    <w:rsid w:val="00F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518A"/>
  <w15:chartTrackingRefBased/>
  <w15:docId w15:val="{8499F1DB-A07C-4F93-8D73-B527F19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1A4EEA"/>
  </w:style>
  <w:style w:type="character" w:styleId="a3">
    <w:name w:val="Hyperlink"/>
    <w:basedOn w:val="a0"/>
    <w:uiPriority w:val="99"/>
    <w:unhideWhenUsed/>
    <w:rsid w:val="001A4EEA"/>
    <w:rPr>
      <w:color w:val="0000FF"/>
      <w:u w:val="single"/>
    </w:rPr>
  </w:style>
  <w:style w:type="paragraph" w:customStyle="1" w:styleId="lead">
    <w:name w:val="lead"/>
    <w:basedOn w:val="a"/>
    <w:rsid w:val="001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E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77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include-asidetitle">
    <w:name w:val="text-include-aside__title"/>
    <w:basedOn w:val="a0"/>
    <w:rsid w:val="006B66FA"/>
  </w:style>
  <w:style w:type="character" w:customStyle="1" w:styleId="text-include-asidesubtitle">
    <w:name w:val="text-include-aside__subtitle"/>
    <w:basedOn w:val="a0"/>
    <w:rsid w:val="006B66FA"/>
  </w:style>
  <w:style w:type="paragraph" w:customStyle="1" w:styleId="21">
    <w:name w:val="Цитата 21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ubtitle">
    <w:name w:val="article__subtitle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text">
    <w:name w:val="share__text"/>
    <w:basedOn w:val="a0"/>
    <w:rsid w:val="00413F7F"/>
  </w:style>
  <w:style w:type="paragraph" w:customStyle="1" w:styleId="meta">
    <w:name w:val="meta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item">
    <w:name w:val="meta__item"/>
    <w:basedOn w:val="a0"/>
    <w:rsid w:val="00413F7F"/>
  </w:style>
  <w:style w:type="character" w:customStyle="1" w:styleId="metatext">
    <w:name w:val="meta__text"/>
    <w:basedOn w:val="a0"/>
    <w:rsid w:val="00413F7F"/>
  </w:style>
  <w:style w:type="character" w:customStyle="1" w:styleId="additionalshow-all-text">
    <w:name w:val="additional__show-all-text"/>
    <w:basedOn w:val="a0"/>
    <w:rsid w:val="00413F7F"/>
  </w:style>
  <w:style w:type="character" w:styleId="a6">
    <w:name w:val="Unresolved Mention"/>
    <w:basedOn w:val="a0"/>
    <w:uiPriority w:val="99"/>
    <w:semiHidden/>
    <w:unhideWhenUsed/>
    <w:rsid w:val="00B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291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031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4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879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088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9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025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17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0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9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70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0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5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9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80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93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4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35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9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21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23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</w:div>
          </w:divsChild>
        </w:div>
      </w:divsChild>
    </w:div>
    <w:div w:id="1488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67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75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9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285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97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882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41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2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52129">
                                                              <w:marLeft w:val="15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87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7560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1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93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38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442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5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238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25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71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27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0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11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2/02/08/polikliniki-ne-spravlyayutsya-s-potokom-patsientov-s-simptomami-orvi-i-covid-19-opyt-regionov/" TargetMode="External"/><Relationship Id="rId18" Type="http://schemas.openxmlformats.org/officeDocument/2006/relationships/hyperlink" Target="https://medvestnik.ru/content/news/Minzdrav-poobeshal-razrabotchikam-cifrovyh-sistem-otkryt-dostup-k-bolshim-dannym.html" TargetMode="External"/><Relationship Id="rId26" Type="http://schemas.openxmlformats.org/officeDocument/2006/relationships/hyperlink" Target="https://pravdasevera.ru/2022/02/10/6204aac0318ffff8ff611672.html?utm_source=yxnews&amp;utm_medium=desktop&amp;utm_referrer=https%3A%2F%2Fyandex.ru%2Fnews%2Fsearch%3Ftext%3D" TargetMode="External"/><Relationship Id="rId39" Type="http://schemas.openxmlformats.org/officeDocument/2006/relationships/hyperlink" Target="https://medvestnik.ru/content/news/V-Roszdravnadzore-podderjdali-chastichnuu-dekriminalizaciu-vrachebnoi-deyatelnosti.html" TargetMode="External"/><Relationship Id="rId21" Type="http://schemas.openxmlformats.org/officeDocument/2006/relationships/hyperlink" Target="https://rg.ru/2022/02/03/kak-dorogo-obhoditsia-lechenie-bolnyh-covid-19.html" TargetMode="External"/><Relationship Id="rId34" Type="http://schemas.openxmlformats.org/officeDocument/2006/relationships/hyperlink" Target="https://medvestnik.ru/content/documents/41n-ot-02-02-202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ia.ru/20220118/vyzov-17684525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documents/140-ot-9-02-2022.html" TargetMode="External"/><Relationship Id="rId20" Type="http://schemas.openxmlformats.org/officeDocument/2006/relationships/hyperlink" Target="https://www.ffoms.gov.ru/upload/iblock/349/3496b00f7d7f1d570beedf91cbc9e91b.pdf" TargetMode="External"/><Relationship Id="rId29" Type="http://schemas.openxmlformats.org/officeDocument/2006/relationships/hyperlink" Target="https://tass.ru/ekonomika/1364455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17/07/21/vyzyvat-vracha-na-dom-mozhno-budet-cherez-internet/" TargetMode="External"/><Relationship Id="rId11" Type="http://schemas.openxmlformats.org/officeDocument/2006/relationships/hyperlink" Target="http://government.ru/news/44509/" TargetMode="External"/><Relationship Id="rId24" Type="http://schemas.openxmlformats.org/officeDocument/2006/relationships/hyperlink" Target="https://vademec.ru/news/2021/09/29/pravitelstvo-propishet-trebovaniya-dlya-pretendentov-na-status-berezhlivaya-poliklinika/" TargetMode="External"/><Relationship Id="rId32" Type="http://schemas.openxmlformats.org/officeDocument/2006/relationships/hyperlink" Target="https://medvestnik.ru/content/documents/59n-ot-07-02-2022.html" TargetMode="External"/><Relationship Id="rId37" Type="http://schemas.openxmlformats.org/officeDocument/2006/relationships/hyperlink" Target="https://medvestnik.ru/content/news/Minzdrav-prodlil-moratorii-na-attestaciu-dlya-podtverjdeniya-kvalifikacionnoi-kategorii.html" TargetMode="External"/><Relationship Id="rId40" Type="http://schemas.openxmlformats.org/officeDocument/2006/relationships/hyperlink" Target="https://www.mk.ru/social/2022/02/07/neestestvennaya-ubyl-pochemu-v-rossii-za-god-umerlo-svyshe-milliona-chelovek.html?utm_source=yxnews&amp;utm_medium=desktop&amp;utm_referrer=https%3A%2F%2Fyandex.ru%2Fnews%2Fsearch%3Ftext%3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demec.ru/news/2022/02/09/pravitelstvo-vnov-razreshilo-regionam-uvelichivat-sroki-ozhidaniya-medpopomoshchi-po-oms/" TargetMode="External"/><Relationship Id="rId23" Type="http://schemas.openxmlformats.org/officeDocument/2006/relationships/hyperlink" Target="http://vocmp.oblzdrav.ru/metodicheskiye-rekomendatsii-dlya-rukov.html" TargetMode="External"/><Relationship Id="rId28" Type="http://schemas.openxmlformats.org/officeDocument/2006/relationships/hyperlink" Target="https://medvestnik.ru/content/news/V-programmu-gosgarantii-gotovyat-dopolneniya-o-stacionarah-na-domu.html" TargetMode="External"/><Relationship Id="rId36" Type="http://schemas.openxmlformats.org/officeDocument/2006/relationships/hyperlink" Target="https://medvestnik.ru/content/documents/1083n-ot-22-11-2021.html" TargetMode="External"/><Relationship Id="rId10" Type="http://schemas.openxmlformats.org/officeDocument/2006/relationships/hyperlink" Target="https://vademec.ru/news/2022/02/09/putin-poruchil-uskorit-vnedrenie-servisa-po-vyzovu-vracha-na-dom-na-portale-gosuslug/" TargetMode="External"/><Relationship Id="rId19" Type="http://schemas.openxmlformats.org/officeDocument/2006/relationships/hyperlink" Target="https://medvestnik.ru/content/news/Polojenie-o-EGISZ-preterpelo-sushestvennye-izmeneniya.html" TargetMode="External"/><Relationship Id="rId31" Type="http://schemas.openxmlformats.org/officeDocument/2006/relationships/hyperlink" Target="https://medvestnik.ru/content/news/Schetnaya-palata-proverit-finobespechenie-programmy-gosgarantii-v-2021-go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1/12/02/informatsiyu-ob-okazannoy-medpomoshchi-po-oms-v-federalnykh-tsentrakh-pogruzili-na-gosuslugi/" TargetMode="External"/><Relationship Id="rId14" Type="http://schemas.openxmlformats.org/officeDocument/2006/relationships/hyperlink" Target="https://vademec.ru/news/2020/04/06/bazovaya-programma-oms-versiya-covid-19/" TargetMode="External"/><Relationship Id="rId22" Type="http://schemas.openxmlformats.org/officeDocument/2006/relationships/hyperlink" Target="https://vademec.ru/news/2021/07/28/minzdrav-rf-propishet-edinyy-oblik-poliklinik/" TargetMode="External"/><Relationship Id="rId27" Type="http://schemas.openxmlformats.org/officeDocument/2006/relationships/hyperlink" Target="https://ach.gov.ru/news/plan-proverok-2022" TargetMode="External"/><Relationship Id="rId30" Type="http://schemas.openxmlformats.org/officeDocument/2006/relationships/hyperlink" Target="https://medvestnik.ru/content/news/Schetnaya-palata-predlojila-pozvolit-medicinskim-strahovshikam-soprovojdat-pacientov-v-sude.html" TargetMode="External"/><Relationship Id="rId35" Type="http://schemas.openxmlformats.org/officeDocument/2006/relationships/hyperlink" Target="https://medvestnik.ru/content/news/Minzdrav-obnovit-poryadok-prisvoeniya-kvalifikacionnyh-kategorii.html" TargetMode="External"/><Relationship Id="rId8" Type="http://schemas.openxmlformats.org/officeDocument/2006/relationships/hyperlink" Target="https://vademec.ru/news/2021/01/12/svedeniya-ob-okazannoy-medpomoshchi-stanut-dostupny-na-portale-gosu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2/01/21/v-gosklinikakh-peterburga-priostanovili-planovoe-ambulatornoe-lechenie/" TargetMode="External"/><Relationship Id="rId17" Type="http://schemas.openxmlformats.org/officeDocument/2006/relationships/hyperlink" Target="https://medvestnik.ru/content/documents/555-ot-05-05-2018-g.html" TargetMode="External"/><Relationship Id="rId25" Type="http://schemas.openxmlformats.org/officeDocument/2006/relationships/hyperlink" Target="https://vademec.ru/news/2022/02/11/effektivnost-raboty-pervichnogo-zvena-v-oms-otsenyat-ballami/" TargetMode="External"/><Relationship Id="rId33" Type="http://schemas.openxmlformats.org/officeDocument/2006/relationships/hyperlink" Target="https://medvestnik.ru/content/documents/394n-ot-30-04-2020-g.html" TargetMode="External"/><Relationship Id="rId38" Type="http://schemas.openxmlformats.org/officeDocument/2006/relationships/hyperlink" Target="https://medvestnik.ru/content/news/Mediki-snova-budut-prosit-Konstitucionnyi-sud-o-dekriminalizacii-vrachebnoi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2022-02-14T08:13:00Z</dcterms:created>
  <dcterms:modified xsi:type="dcterms:W3CDTF">2022-02-14T08:13:00Z</dcterms:modified>
</cp:coreProperties>
</file>